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FRESHMEN ORIENTATION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NEW STUDENTS ORIENTATION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FIRST DAY OF SCHOOL.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SYLLABUS AND INTRO TO CLASS, WHAT TO EXPECT, MAKE-UP POLICY, DRESS CODE</w:t>
            </w:r>
            <w:r w:rsidDel="00000000" w:rsidR="00000000" w:rsidRPr="00000000">
              <w:rPr>
                <w:rtl w:val="0"/>
              </w:rPr>
              <w:t xml:space="preserve">; WHAT’S ALLOWED, WHAT’S NOT, SPORTSMANSHIP VS. COMPETITIVENESS, HEALTH CONCERNS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TENNIS HANDOUT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SPECIAL NEEDS STUDENTS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BRING CLOTHES TO START PARTICIPATING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WARM-UPS, DETAILING THE COURTS DIMENSIONS, SCORING,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BEGINNING WORK ON GROUNDSTROKES, RULES ABOUT SERVING, SERVING PRACTICE, </w:t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BRING CLOTHES TOMORROW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FRESHMEN ORIENTATION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FRESHMEN ORIENTATION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FIRST DAY OF SCHOOL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INTRO TO CLASS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EXPLANATION OF CLASS EVENTS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COSTS INVOLVED  IF ANY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UNITS WILL BE WEEKLY, MAKE-UP POLICY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START WITH BOCCE.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EXPLANATION OF RULES AND SCORING.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HOW ARE PARTNERS SELECTED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KEEPING A RUNNING LEADERBOARD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DRESS REQUIREMENTS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TIME RESTRICTIONS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